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E3" w:rsidRPr="00BC2F81" w:rsidRDefault="00D54DE3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1" locked="1" layoutInCell="1" allowOverlap="1" wp14:anchorId="6EE460C1" wp14:editId="4A60C69F">
            <wp:simplePos x="0" y="0"/>
            <wp:positionH relativeFrom="margin">
              <wp:posOffset>0</wp:posOffset>
            </wp:positionH>
            <wp:positionV relativeFrom="page">
              <wp:posOffset>1176655</wp:posOffset>
            </wp:positionV>
            <wp:extent cx="5151120" cy="972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140"/>
          <w:szCs w:val="140"/>
        </w:rPr>
      </w:pPr>
    </w:p>
    <w:p w:rsidR="00334E17" w:rsidRPr="00BC2F81" w:rsidRDefault="00334E17" w:rsidP="00334E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MT"/>
          <w:b/>
          <w:color w:val="000000"/>
          <w:sz w:val="140"/>
          <w:szCs w:val="140"/>
        </w:rPr>
      </w:pPr>
      <w:r w:rsidRPr="00BC2F81">
        <w:rPr>
          <w:rFonts w:ascii="Century Gothic" w:hAnsi="Century Gothic" w:cs="ArialMT"/>
          <w:b/>
          <w:color w:val="000000"/>
          <w:sz w:val="140"/>
          <w:szCs w:val="140"/>
        </w:rPr>
        <w:t>Freedom of information</w:t>
      </w:r>
    </w:p>
    <w:p w:rsidR="00334E17" w:rsidRPr="00BC2F81" w:rsidRDefault="00334E17" w:rsidP="00334E1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MT"/>
          <w:b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BC2F81" w:rsidRPr="00BC2F81" w:rsidRDefault="00BC2F81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334E17" w:rsidRPr="00BC2F81" w:rsidRDefault="00334E17" w:rsidP="00D54DE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lastRenderedPageBreak/>
        <w:t>Freedom of Information Act 2000.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Belleville Wix Academy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Index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1. Introduction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2. Background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3. Scope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4. Obligations and Duties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5. Publication Scheme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6. Dealing with Requests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7. Exemptions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8. Public Interest Test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9. Charging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10. Responsibilities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11. Complaints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Appendix 1. FOIA - Procedure for Dealing with Requests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Appendix 2. FOIA - Exemptions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Appendix 3. FOIA - Applying the Public Interest Test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Appendix 4. FOIA – Charging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1. Introduction</w:t>
      </w:r>
    </w:p>
    <w:p w:rsidR="00D54DE3" w:rsidRPr="00BC2F81" w:rsidRDefault="009E14C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Belleville Wix Academy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is committed to the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Freedom of Information Act 2000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and to the principles of accountability and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the general right of access to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information, subject to legal exemptions. This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policy outlines our response to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the Act and a framework for managing requests.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2. Background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Freedom of Information Act 2000 (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FoI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>) cam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 fully into force on January 1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2005. Under the Act, any person has a l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egal right to ask for access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held by the school. They are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entitled to be told whether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 holds the information, and to rec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eive a copy, subject to certain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information which the school routinely m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akes available to the public is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included in the Publication Scheme. Request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s for other information will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dealt with in accordance with the statutory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guidance. While the Act assumes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openness, it recognises that certain info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rmation is sensitive. There are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exemptions to protect this information.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Act is fully retrospective, so that any past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records which the school holds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are covered by the Act. The DfES has issue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d a Retention Schedule produced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by the Records Management Society of Gre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at Britain, to guide schools 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how long they should keep school records. It is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an offence to wilfully conceal,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damage or destroy information in order to avo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id responding to an enquiry, so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it is important that no records that are the subject of an enquiry are amended</w:t>
      </w:r>
    </w:p>
    <w:p w:rsidR="00D54DE3" w:rsidRPr="00BC2F81" w:rsidRDefault="00E6191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>
        <w:rPr>
          <w:rFonts w:ascii="Century Gothic" w:hAnsi="Century Gothic" w:cs="ArialMT"/>
          <w:color w:val="000000"/>
          <w:sz w:val="20"/>
          <w:szCs w:val="20"/>
        </w:rPr>
        <w:t>or</w:t>
      </w:r>
      <w:proofErr w:type="gramEnd"/>
      <w:r>
        <w:rPr>
          <w:rFonts w:ascii="Century Gothic" w:hAnsi="Century Gothic" w:cs="ArialMT"/>
          <w:color w:val="000000"/>
          <w:sz w:val="20"/>
          <w:szCs w:val="20"/>
        </w:rPr>
        <w:t xml:space="preserve"> destroyed.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Requests under </w:t>
      </w:r>
      <w:proofErr w:type="spellStart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FoI</w:t>
      </w:r>
      <w:proofErr w:type="spellEnd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can be addressed to any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one in the school; so all staff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need to be aware of the process for dealing with reques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ts. Requests must be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made in writing, (including email), and should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 include the enquirers name and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correspondence address, and state what in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formation they require. They do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not have to mention the Act, nor do the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y have to say why they want the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information. There is a duty to respond to all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 requests, telling the enquirer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whether or not the information is held, and su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pplying any information that is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held, except where exemptions apply. Ther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e is no need to collect data in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specific response to </w:t>
      </w:r>
      <w:proofErr w:type="gramStart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an</w:t>
      </w:r>
      <w:proofErr w:type="gramEnd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proofErr w:type="spellStart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FoI</w:t>
      </w:r>
      <w:proofErr w:type="spellEnd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enquiry. There is a 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time limit of 20 days excluding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school holidays</w:t>
      </w:r>
      <w:r>
        <w:rPr>
          <w:rFonts w:ascii="Century Gothic" w:hAnsi="Century Gothic" w:cs="ArialMT"/>
          <w:color w:val="000000"/>
          <w:sz w:val="20"/>
          <w:szCs w:val="20"/>
        </w:rPr>
        <w:t xml:space="preserve"> for responding to the request.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For further information and guidance, see the DfES “Freedom of 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Act 2000 – A Guide for Maintained Scho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ols on Full Implementation from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January 2005.”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3. Scope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FoI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Act joins the Data Protection Act an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d the Environmental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Regulations as legislation under which anyone is entitled to request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from the school.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Requests for personal data are still cove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red by the Data Protection Act.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(DPA). Individuals can request to see wh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at information the school holds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about them. This is known as a Subject Ac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cess Request, and must be dealt with accordingly.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Requests for information about anything relati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ng to the environment – such 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air, water, land, the natural world or the buil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t environment and any factor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measure affecting these – are covered by the Environmental 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Regulations (EIR). They also cover issues rel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ating to Health and Safety.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example queries about chemicals used in the school 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 on school land, phone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masts, car parks etc. would all be covered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by the EIR. Requests under EIR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are dealt with in the same way as those under </w:t>
      </w:r>
      <w:proofErr w:type="spellStart"/>
      <w:r w:rsidR="00E6191D">
        <w:rPr>
          <w:rFonts w:ascii="Century Gothic" w:hAnsi="Century Gothic" w:cs="ArialMT"/>
          <w:color w:val="000000"/>
          <w:sz w:val="20"/>
          <w:szCs w:val="20"/>
        </w:rPr>
        <w:t>FoIA</w:t>
      </w:r>
      <w:proofErr w:type="spellEnd"/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, but unlike </w:t>
      </w:r>
      <w:proofErr w:type="spellStart"/>
      <w:r w:rsidR="00E6191D">
        <w:rPr>
          <w:rFonts w:ascii="Century Gothic" w:hAnsi="Century Gothic" w:cs="ArialMT"/>
          <w:color w:val="000000"/>
          <w:sz w:val="20"/>
          <w:szCs w:val="20"/>
        </w:rPr>
        <w:t>FoIA</w:t>
      </w:r>
      <w:proofErr w:type="spellEnd"/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requests,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they do not need 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o be written and can be verbal.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any element of a request to the school inc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ludes personal or environmental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information, these elements must be dealt w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ith under DPA or EIR. Any 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is a request under 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FoIA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>, and must be dealt with accordingly.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4. Obligations and Duties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school recognises its duty to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ItalicMT"/>
          <w:i/>
          <w:iCs/>
          <w:color w:val="000000"/>
          <w:sz w:val="20"/>
          <w:szCs w:val="20"/>
        </w:rPr>
      </w:pP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>§</w:t>
      </w: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 xml:space="preserve">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provide advice and assistance to anyone requesting information. </w:t>
      </w:r>
      <w:r w:rsidR="00E6191D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We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>will respond to straightforward verbal req</w:t>
      </w:r>
      <w:r w:rsidR="00E6191D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uests for information, and will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>help enquirers to put more complex verbal requests into writing so that</w:t>
      </w:r>
      <w:r w:rsidR="00E6191D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>they can be handled under the Act.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>§</w:t>
      </w: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 xml:space="preserve">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tell enquirers whether or not w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 hold the information they are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requesting (the duty to confirm or d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eny), and provide access to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we hold in accordance with the procedures laid down in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Appendix 1.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5. Publication Scheme</w:t>
      </w:r>
    </w:p>
    <w:p w:rsidR="00D54DE3" w:rsidRPr="00BC2F81" w:rsidRDefault="009E14C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Belleville Wix Academy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has adopted 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he Model Publication Scheme for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Schools approved b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y the Information Commissioner.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The Publication Scheme and the materials it covers are available </w:t>
      </w:r>
      <w:r w:rsidR="00D54DE3"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via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the 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School office. It is published on the school’s website. www.bellevilleschool.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org.uk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6. Dealing with Requests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We will respond to all requests in accordanc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 with the procedures laid down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 Appendix 1.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We will ensure that all staff are aware of the procedures.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7. Exemptions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Certain information is subject to either absolute or qualified exemp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tions.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tions are listed in Appendix 2.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When we wish to apply a qualified exemption 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o a request, we will invoke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public interest test procedures to determine if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public interest in applying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 outweighs the public interest in disclosi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ng the information.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We will maintain a register of requests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where we have refused to supply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information, and the reasons for the refusal. The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register will be retained for 5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years.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8. Public Interest Test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Unless it is in the public interest to withhold info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rmation, it has to be released.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We will apply the Public Interest Test befo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re any qualified exemptions are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applied.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For information on applying the Public Interest Test see Appendix 3.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9. Charging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We reserve the right to refuse to supply information whe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re the cost of doing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so exceeds the st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atutory maximum, currently £450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Governing Body will presume that it wil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l charge the costs of complying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with all requests, but this charge may be waived on occasion at the discretion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of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head teacher or chair of the Governing Body.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4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10. Responsibilities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Governing Body delegates the day-to-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day management of </w:t>
      </w:r>
      <w:proofErr w:type="spellStart"/>
      <w:r w:rsidR="00E6191D">
        <w:rPr>
          <w:rFonts w:ascii="Century Gothic" w:hAnsi="Century Gothic" w:cs="ArialMT"/>
          <w:color w:val="000000"/>
          <w:sz w:val="20"/>
          <w:szCs w:val="20"/>
        </w:rPr>
        <w:t>FoIA</w:t>
      </w:r>
      <w:proofErr w:type="spellEnd"/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requests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the School Business Manager.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lastRenderedPageBreak/>
        <w:t>11. Complaints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Any comments or complaints will be dealt w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ith through the school’s normal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complaints procedure.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We will aim to determine all complaints withi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n 15 school days of receipt. We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will publish information on our success rate in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meeting this target. The school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will maintain records of al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l complaints and their outcome.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on investigation the school’s original decision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is upheld, then the school has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 duty to inform the complainant of their right to appeal to the 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Commissioner’s office.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Appeals should be made in writing to the Information Commissioner’s office.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They can be contacted at: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FOI/EIR Complaints Resolution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Information Commissioner’s Office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Wycliffe House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Water Lane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Wilmslow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Cheshire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SK9 5AF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5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Freedom of Information Act 2000.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elleville Wix Academy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Policy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Appendix 1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FOIA Procedure for Dealing with Requests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1. Any member of staff receiving a FOE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request should pass the request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onto the school’s delegated authority 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 respond – the School Business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Director. S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taff should be mindful that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equest for information does not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need to expressly state that the request is made under the FOIA.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2. To handle a request for information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the governing body or delegated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person will need to ask themselves a series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of questions. These are set out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below and shown on pages 10 - 11 as process maps.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Is it a FOI request for information?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3. A request for information may be c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overed by one, or all, of three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rights: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Data Protection enquiries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(or subject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access requests) are ones where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enquirer asks to see what person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al information the school holds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about the enquirer. If the enquiry is a Data Pro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tection request, follow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your existing school DPA guidance.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Environmental Information Regulations enquiries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are ones which relate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air, water, land, natural sites, built en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vironment, flora and fauna, and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health, and any decisions and activities affecti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ng any of these. These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could therefore include enquiries about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recycling, phone masts, school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playing fields, car parking etc. If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enquiry is about environmental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information, follow the guidance 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 the IC’s website or the DEFRA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website.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ItalicMT"/>
          <w:i/>
          <w:iCs/>
          <w:color w:val="000000"/>
          <w:sz w:val="20"/>
          <w:szCs w:val="20"/>
        </w:rPr>
        <w:t xml:space="preserve">FOI enquiries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are concerned wit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 all other information and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reasoning behind decisions and policie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s. The request does not have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mention the FOI Act. All requests fo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 information that are not data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protection or environmental information requests are covered by the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FOI Act.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Is this a valid FOI request for information?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4. An FOI request should: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be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 writing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, including email or FAX;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state the enquirer’s name and correspondence address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(email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addresses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are allowed);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describe the information requested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- there mu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st be enough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to be able to identify and locate the information1; 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not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be covered by one of the other pieces of legislation.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 In cases where the enquiry is ambiguous assist the enquirer to describe more clearly the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requested. Where possible, establish direct con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tact. The aim is to clarify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nature of the information requested and not to determin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 the aims or motivation of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enquirer. If you notify the enquirer that you need further infor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mation to enable you to answer,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you do not have to deal with the request until the furth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er information is received.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response time limit starts from the date this is received.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5. Verbal enquiries are not covered by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FOI Act. Such enquiries can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dealt with where the enquiry is relatively straig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htforward and can be dealt with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satisfactorily. However, for more complex 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nquiries, and to avoid disputes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over what was asked for, you should ask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enquirer to put the request in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writing or email, when the request will become subject to FOI.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Does the school hold the information?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6. “Holding” information means information relating to the business of the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school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>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school has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created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school has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received from another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body or person,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held by another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body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school’s behalf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7. Information means both hard copy and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digital information, including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email.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8. If the school does not hold the informatio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n, you do not have to create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acquire it just to answer the enquiry, althoug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 a reasonable search should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made before denying that you have got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information the school might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expected to hold.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Has the information requested already been made public?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9. If the information requested is al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ready in the public domain,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instance through your Publication Scheme or on your website, 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irect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enquirer to the information and explain how to access it.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Is the request vexatious or manifestly unreasonable or repeated?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10. The Act states that there is no obli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gation to comply with vexatious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requests. This is taken to mean a request which i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 designed to cause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inconvenience, harassment or expense rather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than to obtain information, and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would require a substantial diversion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of resources or would otherwise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undermine the work of the school2. This how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ever does not provide an excuse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for bad records management.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Can the school transfer a request to another body?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11. If the information is held by another publi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c authority, such as your local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authority, first check with them they hold it,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 transfer the request to them.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You must notify the enquirer that you do not 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old the information and to whom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you have transferred the request. You should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answer any parts of the enquiry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 respect of information your school does hold.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Could a third party’s interests be affected by disclosure?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12. Consultation of third parties may be requi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red if their interests could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affected by release of the information requested, and any such consultation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2 It is not intended to include otherwise valid requests in which the applicant may make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complaints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or vent frustrations. In addition, you do not have to comply with repeated identical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or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substantially similar requests from the same applicant unl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ess a “reasonable” interval has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elapsed between requests.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7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may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influence the decision. You do not need to consult where you are not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going to disclose the information because you will be applying an exemption.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13. Consultation will be necessary where: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disclosure of information may affect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legal rights of a third party,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such as the right to have certain information treated in conf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idence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or rights under Article 8 of 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he European Convention on Human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Rights;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views of the third party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may assist you to determine if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from disclosure,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views of the third party may ass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ist you to determine the public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interest.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Does an exemption apply?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14. The presumption of the legislation is tha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 you will disclose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unless the Act provides a specific reason to w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ithhold it. There are more than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20 exemptions. They are set out in Appendix 2 and are mainly intend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ed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protect sensitive or confidential information.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15. Only where you have real concerns a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bout disclosing the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should you look to see whether an exemptio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 might apply. Even then, where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potential exemption is a qualified exemption, you nee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d to consider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public interest test to identify if the public int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erest in applying the exemption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outweighs the public interest in disclosing it. Therefore, unless it is in the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public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interest to withhold the information, it has to be released. Appendix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3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contains guidance on conducting a public interest test.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if the request is for personal information?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16. Personal information requested by the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subject of that information is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 under the FOI Act as such inf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ormation is covered by the Data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Protection Act. Individuals must, therefore, con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tinue to make a ‘subject access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request’ under the Data Protection Act if they wish to access such information.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8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if the details contain personal information?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17. Personal information requested by third part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ies is also exempt under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FOI Act where release of that in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formation would breach the Data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Protection Act. If a request is made for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 document (e.g. Governing Body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minutes) which contains personal information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whose release to a third party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would breach the Data Protection Act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, the document may be issued by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blanking out the relevant personal informat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ion as set out in the redaction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procedure. The procedure for redaction is here3.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How much can we charge?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18. The Act allows governing bodies to charge for pr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oviding information.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For further information, see Appendix 4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19. The first step is to determine if the thre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shold (currently £450) would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exceeded. Staff costs should be calculate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d at £25 per hour. You can take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account of the costs of determining if the information is held, locating and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retrieving the information, and extrac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ting the information from </w:t>
      </w:r>
      <w:r w:rsidR="00F16C29">
        <w:rPr>
          <w:rFonts w:ascii="Century Gothic" w:hAnsi="Century Gothic" w:cs="ArialMT"/>
          <w:color w:val="000000"/>
          <w:sz w:val="20"/>
          <w:szCs w:val="20"/>
        </w:rPr>
        <w:lastRenderedPageBreak/>
        <w:t xml:space="preserve">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documents. You cannot take into account th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 costs involved in determining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whether information is exempt.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20. If a request would cost less than the appr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opriate limit, (currently £450)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school can only charge for the cost of info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rming the applicant whether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held, and communicating the inf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ormation to the applicant (e.g.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photocopyin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g, printing and postage costs).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a request would cost more than the appropria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te limit, (£450) the school can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turn the request down, answer and charge a fe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e, or answer and waive the fee.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it decides to charge a fee, and does not hav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 other powers to do so, it can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charge on the basis of the costs outlined in Appendix 4.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21. Schools will however wish to consider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whether calculating the cost of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fee outweighs the cost of providing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the information. In practice we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recommend that schools respond to straightf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orward enquiries free of charge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charge where the costs are significant.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22. If you are going to charge you must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send the enquirer a fees notice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do not have to comply with the reque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st until the fee has been paid.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Appendix 4 gives more information on charging.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3 The procedure for redaction is: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spellStart"/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</w:t>
      </w:r>
      <w:proofErr w:type="spellEnd"/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>) mask the passages which are not to be disclosed and photocopy; (ii)annotate in the margin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against each blank passage, the exemption and section of 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he Act under which this passage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is exempt; iv)explain in the covering letter that the relevant exemptions are ma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rked in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attachments and in the case of non-absolute exemptions, 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ow the public interest test has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been considered.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On no account must you use the computer to rewrite the document or email and simply delete</w:t>
      </w:r>
    </w:p>
    <w:p w:rsidR="00D54DE3" w:rsidRPr="00BC2F81" w:rsidRDefault="00F16C29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>
        <w:rPr>
          <w:rFonts w:ascii="Century Gothic" w:hAnsi="Century Gothic" w:cs="ArialMT"/>
          <w:color w:val="000000"/>
          <w:sz w:val="20"/>
          <w:szCs w:val="20"/>
        </w:rPr>
        <w:t>t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he</w:t>
      </w:r>
      <w:proofErr w:type="gramEnd"/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 xml:space="preserve"> exempted passages so that the resulting document appears as though they did not exist.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The one circumstance where this would be permissible would be where the only redacted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parts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are personal information such as people’s names and the covering letter explains this.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9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Is there a time limit for replying to the enquirer?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23. Compliance with a request must be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prompt and certainly within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legally prescribed limit of 20 working days, exc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luding school holidays. Failure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comply could result in a complaint to th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 Information Commissioner.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response time starts from the time the requ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est is received. Where you have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asked the enquirer for more information to enable you to answer, the 20 days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start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time begins when this further information has been received.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24. If a qualified exemption applies and you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need more time to consider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public interest test, you should reply wit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hin the 20 days stating that 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exemption applies but include an estimate of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the date by which a decision 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public interest test will be made. This should be within a “reasonabl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e” time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– in practice, it is recommended by the Depar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tment that normally this should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be within 10 working days.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25. Where you have notified the enquirer 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hat a charge is to be made,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time period stops until payment is received and then continues again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once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payment has been received.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action is required to refuse a request?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26. If the information is not to be provid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ed, the person dealing with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 must immediately contact the pers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on in the school with delegated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responsibility for FOI to ensure that the ca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se has been properly considered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the reasons for refusal are sound. If it is 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ecided to refuse a request, you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need to send a refusals notice, which must contain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i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fact that the responsible person cannot provide the information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asked for;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 xml:space="preserve">ii)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which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exemption(s) you are claiming apply;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iii)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why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exemption(s) apply to this enquiry (if it is not self-evident);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iv)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reasons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for refusal if based on cost of compliance (see Appendix 4)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v)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case of non-absolute exemptions, how you hav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 applied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public interest test, specifying the pub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lic interest factors taken into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account before reaching the decision (see Appendix 3)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vi)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reasons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for refusal on vexatious or repeated grounds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vii)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internal complaints procedure.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27.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For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monitoring purposes and in case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of an appeal against a decision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not to release the information or an investigation by the 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Commissioner, the responsible person must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keep a record of all enquiries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where all or part of the requested information is withheld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and exemptions are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claimed. The record must include the reasons f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or the decision to withhold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information. Records should be ret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ained for 5 years. There are no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requirements to keep records where yo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u have supplied the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requested.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do I do if someone complains?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28. Any written (including email) expression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of dissatisfaction - even if it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does not specifically seek a review – should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be handled through the school’s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existing complaints procedure which sh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ould be fair and impartial.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procedure should be clear and 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non bureaucratic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. Wherever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practicable the 10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review should be handled by someone not involved in the original decision.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Complaints should be handled in line with 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the school’s current complaints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procedure.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29. When the original request has been r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eviewed and the outcome is that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information should be disclosed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 this should be done as soon 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practicable. When the outcome is that proced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ures within the school have not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been properly followed, the school should review procedures to preve</w:t>
      </w:r>
      <w:r w:rsidR="00F16C29">
        <w:rPr>
          <w:rFonts w:ascii="Century Gothic" w:hAnsi="Century Gothic" w:cs="ArialMT"/>
          <w:color w:val="000000"/>
          <w:sz w:val="20"/>
          <w:szCs w:val="20"/>
        </w:rPr>
        <w:t xml:space="preserve">nt any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recurrence. When the outcome upholds th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school’s original decision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action, the applicant should be informed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of their right to appeal to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Commissioner. The appeal should be made in writing to: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FOI Compliance Team (complaints)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Wycliffe House, Water Lane, Wilmslow, Cheshire. SK9 5AF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11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Process Map 1 for Dealing with Requests</w:t>
      </w:r>
    </w:p>
    <w:p w:rsidR="00D54DE3" w:rsidRPr="00BC2F81" w:rsidRDefault="00D54DE3" w:rsidP="00703B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R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equest for information received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writing (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inc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email) By telephone or in person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Is it simple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enough to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deal with?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too complex,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ask to put request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 writing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Provide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held by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it asking to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see personal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about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enquirer</w:t>
      </w:r>
      <w:proofErr w:type="gramEnd"/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it about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environmental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issues?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Treat as a subject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access request under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Data Protection Act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Treat as a request under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Environmental Information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Regulations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Treat as a Freedom of</w:t>
      </w:r>
    </w:p>
    <w:p w:rsidR="00703B7F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request –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</w:p>
    <w:p w:rsidR="00703B7F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Go to process map 2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held by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another public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body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Transfer request to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relevant body, tell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enquirer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NO YES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 the person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not held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12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Process Map 2 for Dealing with Requests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Has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already been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made public?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Does one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or more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apply?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Can you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meet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20 day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deadline?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Would a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charge be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appropriate?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Do you have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any concerns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with releasing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Don’t provide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information,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send refusal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notice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Tell enquirer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amount, await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payment, then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Provide the information,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or explain where it can be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found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Check with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‘responsible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person’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proofErr w:type="gramStart"/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>Is</w:t>
      </w:r>
      <w:proofErr w:type="gramEnd"/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absolute?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You cannot withhold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other than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permitted redactions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Does public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interest test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require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disclosure?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Do the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calculated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charges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exceed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ceiling limit?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Tell enquirer response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will be delayed and</w:t>
      </w:r>
      <w:r w:rsidR="00703B7F" w:rsidRPr="00BC2F81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why then …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From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Process Map 1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Yes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No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Not obliged to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provide information,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send refusal notice or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charge enquirer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Yes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No</w:t>
      </w:r>
    </w:p>
    <w:p w:rsidR="00304BED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13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Freedom of Information Act 2000.</w:t>
      </w:r>
    </w:p>
    <w:p w:rsidR="00D54DE3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Belleville Wix Academy</w:t>
      </w:r>
      <w:r w:rsidR="00D54DE3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Policy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Appendix 2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FOIA Exemptions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1. Although decisions on disclosure sho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uld be made on a presumption of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openness, the FOI Act recognises the need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to preserve confidentiality and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protect sensitive material in some circumstances.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2. You cannot withhold information in res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ponse to a valid request UNLESS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one of the following applies:-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an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exemption to disclosure,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information sought is not held,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request is considered vexatious or repeated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cost of compliance exceeds the threshold (see Appendix 4)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The duty to confirm or deny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3. A person applying for information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has the right to be told if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requested is held by the school, and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if that is the case to have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sent (subject to any of the exempt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ions). This obligation is known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as the school’s “duty to confirm or deny” that it holds the information.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However, the school does not have to confirm or deny if:-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exemption is an absolute exemption (see paragraph 6), 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case of qualified exemptions (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see paragraph 8), confirming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denying would itself disclose exempted information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Exemptions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4. A series of exemptions are set out in the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Act which allow the withholding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of information in relation to an enquiry. Some are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ver</w:t>
      </w:r>
      <w:r w:rsidR="00AE1DCC">
        <w:rPr>
          <w:rFonts w:ascii="Century Gothic" w:hAnsi="Century Gothic" w:cs="ArialMT"/>
          <w:color w:val="000000"/>
          <w:sz w:val="20"/>
          <w:szCs w:val="20"/>
        </w:rPr>
        <w:t>y</w:t>
      </w:r>
      <w:proofErr w:type="gramEnd"/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specialised in their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application (such as national security) and w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ould not usually be relevant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schools. There are more than 20 exemptions but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schools are likely to use only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 few of them.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5. There are two general categories of exemptions:-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Absolute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: where there is no requirem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ent to confirm or deny that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held, disclose the information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consider the public interest;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Qualified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: where, even if an exemption applies, there is a duty to consider the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public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interest in disclosing information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are the Absolute Exemptions?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14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6. There are 8 absolute exemptions 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isted in the Act. Even where 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absolute exemption applies:-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it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does not mean that you cannot discl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ose under any circumstances; it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means that disclosure is not required by 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he Act. A decision could be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taken to ignore the exemption and release the information taking into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account all the facts of the case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lastRenderedPageBreak/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there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is still a legal obligation to provide reasonable advice 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assistance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to the enquirer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 The absolute exemptions in the Act are set out below. </w:t>
      </w:r>
      <w:r w:rsidR="00AE1DCC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Those which might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be relevant to schools are marked with an *: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7.1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Information accessible to the enquirer by other means*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21)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If information is reasonably accessible to the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applicant by another route than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Act, it is exempt information. This is the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case even if the enquirer would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have to pay for the information under that al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ternative route. This exemption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includes cases where you are required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to give information under 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legislation, or where the information is available via the Publication Scheme.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7.2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Information dealing with security matters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23) (see also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qualified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exemption under 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ection 24 on national security)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This applies to information directly or indirect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ly supplied by, or relating to,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bodies dealing with security matters such as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GCHQ, MI5, MI6, Special Forces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the Serious and Organised Crime Agency (SOCA).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7.3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Court records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32) – (see als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 the qualified exemption under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Section 30 concerning investigations and proceedings conducted b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y public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authorities)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This applies to information related to procee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dings in a court or tribunal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served on a public authority for the purposes of proceedings.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7.4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Parliamentary Privilege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34)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This exempts information if it is required for the pu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rpose of avoiding 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infringement of the Parliamentary privilege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. Parliamentary privilege is 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immunity whereby MPs cannot be prosecuted fo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sedition or sued for libel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slander over anything said during proceedings in the House.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7.5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Prejudice to the effective conduct of public affairs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(Section 36) – see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also the qualified exemption part of Section 36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This relates to the maintenance of the collective responsibility of Ministers.</w:t>
      </w:r>
    </w:p>
    <w:p w:rsidR="00304BED" w:rsidRPr="00BC2F81" w:rsidRDefault="00304BED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7.6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Personal information*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40) - 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ee also the qualified exemption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part of Section 40. Where enquirers ask to se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information about themselves,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this is exempt under the Act because it is cove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red by the Data Protection Act.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Consult your existing school Data Protection guidance.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7.7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Information provided in confidence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* (Section 41)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This relates to information obtained from a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person if its disclosure would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constitute a breach of confidence actionable by that, or another, person.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7.8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Prohibitions on disclosure*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44)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15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where its disclosure is proh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ibited under any 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legislation by order of a court or where it would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constitute a contempt of court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or where it is incompatible with any EC obligation.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are the Qualified Exemptions?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AE1DCC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8. With qualified exemptions, even if it is decided that an exe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mption applies,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there is a duty to consider the public interest in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confirming or denying that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exists and in disclosing informatio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n. Guidance on carrying out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public interest test is at Annex C. The qualified exemptions in the Act are set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out below.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Those which might be relevant to schools are marked with an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*: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 xml:space="preserve">8.1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Information intended for future publication*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22)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If at the time the request was made, inf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ormation is held with a view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publication, then it is exempt from disclosure if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it is reasonable that it should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not be disclosed until the intended date of pu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blication. This could apply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instance to statistics published at set intervals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, for example annually or where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incomplete and it would be inappropriate to pu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blish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prematurely4. Remember, you still have a 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egal duty to provide reasonable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advice and assistance.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8.2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National security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24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)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(see also absolute exemption 23)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for the purposes of safeguarding national security.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8.3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Defence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26)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 prejudice the defence of the UK.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8.4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International relations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27)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would be likely to, prejudice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relations between the UK and any other state, international organisation.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8.5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Relations within UK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28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would be likely to, prejudice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relations between any administrative bodies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in the UK i.e. the Government,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Scottish Administration, Northern Ireland As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sembly, or National Assembly of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Wales.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8.6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The economy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29)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would,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would be likely to, prejudice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economic or financial interests of the UK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8.7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Investigations and proceedings conducted by public authorities*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(Section 30)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is exempt if it has at any time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been held by the school for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purposes of criminal investigations or proceedings, such as determining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4 Note the following:-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intended publication does not have to be by 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he school, it can be by another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person or body on behalf of the school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date of publication does not have to be known,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it could be at some future date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(although it is recommended that some idea of a likely date is given)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duty to confirm or deny does not apply if to do so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would involve the disclosure of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any of the relevant 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16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whether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 person should be charged with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an offence or whether a charged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person is guilty, or investigations which may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lead to a decision to institute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criminal proceedings. The duty to confirm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or deny does not apply to such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8.8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Law enforcement*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31)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which is not exempt unde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Section 30 Investigations and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Proceedings, may be exempt under 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his exemption in the event that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disclosure would, or would be likely to, prejudice the following among others:-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prevention or detection of crime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apprehension or prosecution of offenders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administration of justice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exercise of functions such as ascertaining if a person has bro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ken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law, is responsible for improper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conduct, whether circumstances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justify regulatory action, ascertaining a person’s fitness or competence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in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relation to their profession, ascertain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ing the cause of an accident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protecting or recovering charities or its properties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any civil proceedings brought by or on b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ehalf of the school which arise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out of an investigation carried out fo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any of the purposes mentioned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above.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duty to confirm or deny does not arise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where prejudice would result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any of these matters.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8.9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Audit Functions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33)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would,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 would be likely to, prejudice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exercise of an authority’s functions in relati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on to the audit of the accounts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of other public authorities. It does not apply to internal audit reports.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8.10 Formulation of government policy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35)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held is exempt information if i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 relates to the formulation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development of government policy, minist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erial communications, advice by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Law Officers (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eg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Attorney General) and the operation of any Ministerial private</w:t>
      </w:r>
    </w:p>
    <w:p w:rsidR="00D54DE3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O</w:t>
      </w:r>
      <w:r w:rsidR="00D54DE3" w:rsidRPr="00BC2F81">
        <w:rPr>
          <w:rFonts w:ascii="Century Gothic" w:hAnsi="Century Gothic" w:cs="ArialMT"/>
          <w:color w:val="000000"/>
          <w:sz w:val="20"/>
          <w:szCs w:val="20"/>
        </w:rPr>
        <w:t>ffice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8.11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Prejudice to the conduct of public affairs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(Section 36) (excluding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matters covered by the absolute exemption part of Section 36)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likely to prejudice the maintenance of the convention of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collective responsibility of Ministers or likel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y to inhibit the free and frank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provision of advice or exchange of views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8.12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Communications with the Queen*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37)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 relates to com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munications with the Queen,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Royal Family or Royal Household or if it relat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es to the award of honours.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duty to confirm or deny does not arise where this exemption applies.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8.13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Health and Safety*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38)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its disclosure would or would be likely to endanger th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safety or physical or mental health of any ind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ividual. The duty to confirm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deny does not arise where prejudice would result.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17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8.14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Environmental information*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39)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Information is exempt under FOI where it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is covered by the Environmental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Regulations. Environmental in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formation can cover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relating to: air, water, land, natural sites, buil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 environment, flora and fauna,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health. It also covers all information rela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ting to decisions or activities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affecting any of these.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8.15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Personal information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* (Section 40) –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see also the absolute exemption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part of Section 40 Where an individual see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ks information about themselves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Data Protection Act powers apply.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Where the information concerns a third party, it is exempt if its disclosur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would contravene the Data Protection Act, or the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data protection principles; 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the person to whom the information relates w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ould not have a right of access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it because it falls under one of the exempti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ons to the Data Protection Act.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The duty to confirm or deny does not arise in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relation to this information if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doing so would be incompatible with any of the above.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8.16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Legal professional privilege*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42)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Legal professional privilege covers any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advice given by legal advisers,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solicitors and barristers. Generally such in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formation will be privileged. 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 wishing to disclose the information wil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l need to seek consent from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provider of the advice. This exemption covers all such information where a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claim to legal professional privilege can be m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aintained in legal </w:t>
      </w:r>
      <w:r w:rsidR="00AE1DCC">
        <w:rPr>
          <w:rFonts w:ascii="Century Gothic" w:hAnsi="Century Gothic" w:cs="ArialMT"/>
          <w:color w:val="000000"/>
          <w:sz w:val="20"/>
          <w:szCs w:val="20"/>
        </w:rPr>
        <w:lastRenderedPageBreak/>
        <w:t xml:space="preserve">proceedings.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duty to confirm or deny does not arise w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here to do so would involve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disclosure of such information.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8.17 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Commercial interests*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(Section 43)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if it constitutes a trade secret or would be likely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prejudice the commercial interests of an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y person or body (including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school). The duty to confirm or deny does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not arise where prejudice would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result to commercial interests but not wher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the information constitutes 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trade secret.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Protective Markings and Applying Exemptions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9. When considering if an exemption to disclo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sure should apply, bear in mind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that the presence of a protective marking (Rest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ricted, Confidential or </w:t>
      </w:r>
      <w:proofErr w:type="gramStart"/>
      <w:r w:rsidR="00AE1DCC">
        <w:rPr>
          <w:rFonts w:ascii="Century Gothic" w:hAnsi="Century Gothic" w:cs="ArialMT"/>
          <w:color w:val="000000"/>
          <w:sz w:val="20"/>
          <w:szCs w:val="20"/>
        </w:rPr>
        <w:t>Secret</w:t>
      </w:r>
      <w:proofErr w:type="gramEnd"/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with or without descriptors such as Staff, Management, Commercial 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etc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>) d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oes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not constitute an exemption and is not in itself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sufficient grounds on which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prevent disclosure. Each case must be considered on its merits.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Timing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10. Where information has previously been w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ithheld, it must not be assumed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that any subsequent requests for the same in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formation will also be refused.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Sensitivity of information decreases with age a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nd the impact of any disclosure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will be different depending on when the requ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est is received. Therefore,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each request, it will be necessary to consider the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harm that could result at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time of the request and, while taking into account any previous exemption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applications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>, each case should be considered separately.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BC2F81" w:rsidRPr="00BC2F81" w:rsidRDefault="00BC2F81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BC2F81" w:rsidRPr="00BC2F81" w:rsidRDefault="00BC2F81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Next steps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18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11. In all cases, before writing to the enquirer, the person given responsibi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lity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for FOI by the school governing body will n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eed to ensure that the case has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been properly considered, and that the reasons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for refusal, or public interest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test refusal, are sound.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19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Freedom of Information Act 2000.</w:t>
      </w:r>
    </w:p>
    <w:p w:rsidR="00D54DE3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Belleville Wix Academy</w:t>
      </w:r>
      <w:r w:rsidR="00D54DE3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Policy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Appendix 3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FOIA Applying the Pubic Interest Test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Background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1. Having established that a qualified exemp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tion(s) definitely applies to 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particular case, you must then carry out a public i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nterest test to identify if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public interest in applying the exemption o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utweighs the public interest in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disclosing it. Therefore, unless it is in the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public interest to withhold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information, it has to be released. Although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precedent and a developed case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law will play a part, individual circumstances will vary and each cas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will need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be considered on its own merits.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Carrying out the test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2. It is worth noting that what is in the public 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interest is not necessarily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same as that which may be of interest to the publ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ic. It may be irrelevant that a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matter may be the subject of public curiosity. In m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ost cases it will be relatively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straightforward to decide where the balance of th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 public interest in disclosure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lies. However, there will inevitably be cases wh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ere the decision is a difficult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one. Applying such a test depends to a high degree on objective judgement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and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 basic knowledge of the subject matter and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 its wider impact in the school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possibly wider. Factors that might be t</w:t>
      </w:r>
      <w:r w:rsidR="00AE1DCC">
        <w:rPr>
          <w:rFonts w:ascii="Century Gothic" w:hAnsi="Century Gothic" w:cs="ArialMT"/>
          <w:color w:val="000000"/>
          <w:sz w:val="20"/>
          <w:szCs w:val="20"/>
        </w:rPr>
        <w:t xml:space="preserve">aken into account when weighing </w:t>
      </w:r>
      <w:bookmarkStart w:id="0" w:name="_GoBack"/>
      <w:bookmarkEnd w:id="0"/>
      <w:r w:rsidRPr="00BC2F81">
        <w:rPr>
          <w:rFonts w:ascii="Century Gothic" w:hAnsi="Century Gothic" w:cs="ArialMT"/>
          <w:color w:val="000000"/>
          <w:sz w:val="20"/>
          <w:szCs w:val="20"/>
        </w:rPr>
        <w:t>the public interest include:-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For Disclosure </w:t>
      </w:r>
      <w:proofErr w:type="gramStart"/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Against</w:t>
      </w:r>
      <w:proofErr w:type="gramEnd"/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Disclosure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increase access to information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held by the school?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distort public reporting or be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misleading because it is incomplete?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Is disclosure likely to give the reasons for a decision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or allow individuals to understand decisions affecting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their lives or assist them in challenging those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decisions?</w:t>
      </w:r>
    </w:p>
    <w:p w:rsidR="00923678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premature disclosure likely to prejudice fair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scrutiny, or release sensitive issues still on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internal agenda or evolving?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improve the accountability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transparency of the school in the use of public funds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help to show that it obtains value for money?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cause unnecessary public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alarm or confusion?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contribute to public debate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assist the understanding of existing or proposed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policy?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seriously jeopardise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school’s legal or contractual position?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increase public participation in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decision-making?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infringe other legislation e.g.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Data Protection Act?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increase public participation in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political processes in general?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create a controversial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precedent on the release of information or impair</w:t>
      </w:r>
    </w:p>
    <w:p w:rsidR="00923678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your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ability to obtain information in the future?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bring to light information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affecting public safety?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adversely affect the school’s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proper functioning and discourage openness in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expressing opinions?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Is disclosure likely to reduce further enquiries on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topic?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If a large amount of information on the topic has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already been made available, would further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disclosure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shed any more light or serve any useful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purpose?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20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3. Note also that: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potential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or actual embarrassment to, or loss of confidence in,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school, staff or governors is NOT a valid factor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fact that the information is technical, complex to understand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may be misunderstood may not of itself be a reason to withhold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potential harm of releasing information will reduce over time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should be considered at the time the request is made rather than by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reference to when the relevant decision was originally taken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balance of the public interest in disclosure cannot always be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decided on the basis of whether the disclosure of particular information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would cause harm, but on certain higher order considerations such as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need to preserve confidentiality of internal discussions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Symbol"/>
          <w:color w:val="000000"/>
          <w:sz w:val="20"/>
          <w:szCs w:val="20"/>
        </w:rPr>
        <w:t xml:space="preserve">•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 decision not to release information may be perverse i.e. would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decision to withhold information because it is not in the public interest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to release it, itself result in harm to public safety, the environment or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third party?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4. You will need to record the answers to these questions and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reasons for those answers. Deciding on the public interest is not simply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matter of adding up the number of relevant factors on each side. You need to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decide how important each factor is in the circumstances and go on to make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 overall assessment.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For Disclosure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5. Where the balance of the public interest lies in disclosure, the enquiry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should be dealt with and the information required should be made available.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Where the factors are equally-balanced, the decision should usually favour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disclosure (but see 3rd bullet point above).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Against Disclosure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6. After carrying out the public interest test if it is decided that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exemption should still apply, proceed to reply to the request.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There will be occasions when it has been decided that a qualified exemption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applies but consideration of the public interest test may take longer. In such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case, you must contact the enquirer within 20 working days stating that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particular exemption applies, but including an estimate of the date by which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decision on the public interest test will be made. This should be within a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“reasonable” time – in practice, it is recommended this decision is made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communicated within the 20 days but where not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>possible it is suggested that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no more than 10 working days beyond the 20 days should be allowed.</w:t>
      </w:r>
    </w:p>
    <w:p w:rsidR="005052BE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21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Freedom of Information Act 2000.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Belleville </w:t>
      </w:r>
      <w:r w:rsidR="00703B7F"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Wix Academy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 Policy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Appendix 4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FOIA Charging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 xml:space="preserve">Important: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Different charges apply for requests under the Data Protection Act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May I charge a fee?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FOI does not require charges to be made but schools have discretion to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charge applicants a fee in accordance with the Fees Regulations (fees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Regulations on the DCA website </w:t>
      </w:r>
      <w:hyperlink r:id="rId5" w:history="1">
        <w:r w:rsidR="005052BE" w:rsidRPr="00BC2F81">
          <w:rPr>
            <w:rStyle w:val="Hyperlink"/>
            <w:rFonts w:ascii="Century Gothic" w:hAnsi="Century Gothic" w:cs="ArialMT"/>
            <w:sz w:val="20"/>
            <w:szCs w:val="20"/>
          </w:rPr>
          <w:t>www.dca.gov.uk/foi/secleg.htm</w:t>
        </w:r>
      </w:hyperlink>
      <w:r w:rsidRPr="00BC2F81">
        <w:rPr>
          <w:rFonts w:ascii="Century Gothic" w:hAnsi="Century Gothic" w:cs="ArialMT"/>
          <w:color w:val="000000"/>
          <w:sz w:val="20"/>
          <w:szCs w:val="20"/>
        </w:rPr>
        <w:t>)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What steps should we take in considering whether to charge?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Step 1. Is the information exempt for the purposes of the </w:t>
      </w:r>
      <w:proofErr w:type="spellStart"/>
      <w:r w:rsidRPr="00BC2F81">
        <w:rPr>
          <w:rFonts w:ascii="Century Gothic" w:hAnsi="Century Gothic" w:cs="ArialMT"/>
          <w:color w:val="000000"/>
          <w:sz w:val="20"/>
          <w:szCs w:val="20"/>
        </w:rPr>
        <w:t>FoI</w:t>
      </w:r>
      <w:proofErr w:type="spell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Act?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information is exempt, then fees do not apply. You may not know if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is exempt until it has been located and checked. However, there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are many instances, for example information in your publication scheme,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when it is automatically exempt. If you wish to charge for information in your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publication scheme, this should be made clear in the scheme itself.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school would need to contact the enquirer to inform them that the information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is exempt, and how to obtain it.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Step 2. Do you wish to calculate whether the cost of the request would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exceed the appropriate limit (currently £450)?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In many cases, it will be obvious that the request would cost less than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appropriate limit, so there would be little point in making the calculation.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Step 3. Calculate the appropriate limit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Staff costs are calculated at £25 per hour. When calculating whether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limit is exceeded, schools can take account of the costs of determining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whether the information is held, locating and retrieving the information, 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extracting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information from other documents. They cannot take account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of the costs involved with considering whether information is exempt under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Act.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Step 4. Requests costing less than the limit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a request would cost less than the limit, schools can only charge for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cost of informing the applicant whether the information is held, 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communicating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the information to the applicant (e.g. photocopying, printing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and postage costs)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Step 5. Requests exceeding the limit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If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 request would cost more than the limit, the school can turn the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 down, answer and charge a fee, or answer and waive the fee.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If you choose to comply with a request where the estimated cost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exceeds the threshold you should calculate the charge as outlined in Step 3,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plus the costs of informing the applicant whether the information is held, and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communicating the information to them (e. printing and postage costs)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22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Step 6. For all requests, schools should have regard to the following two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points: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>§</w:t>
      </w: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 xml:space="preserve">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duty to provide advice and assistance to applicants. If planning to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turn down a request for cost reasons, or charge a high fee, you should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contact the applicant in advance to discuss whether they would prefer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scope of the request to be modified so that, for example, it would</w:t>
      </w:r>
      <w:r w:rsidR="00923678">
        <w:rPr>
          <w:rFonts w:ascii="Century Gothic" w:hAnsi="Century Gothic" w:cs="ArialMT"/>
          <w:color w:val="000000"/>
          <w:sz w:val="20"/>
          <w:szCs w:val="20"/>
        </w:rPr>
        <w:t xml:space="preserve">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cost less than the appropriate limit.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>§</w:t>
      </w:r>
      <w:r w:rsidRPr="00BC2F81">
        <w:rPr>
          <w:rFonts w:ascii="Century Gothic" w:eastAsia="Wingdings-Regular" w:hAnsi="Century Gothic" w:cs="Wingdings-Regular"/>
          <w:color w:val="000000"/>
          <w:sz w:val="20"/>
          <w:szCs w:val="20"/>
        </w:rPr>
        <w:t xml:space="preserve">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Maximum amount that can be charg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ed. The Regulations set out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maximum amount that can be charg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ed. However there is nothing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stop schools charging a lesser or 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no fee. Governing bodies should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develop a consistent policy on charging.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May I aggregate the costs where there are multiple requests?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Where two or more requests are made to the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school by different people who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appear to be acting together or as part of a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campaign the estimated cost of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complying with any of the requests is to be taken to be the 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stimated total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cost of complying with them all, provided that: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(a)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two or more requests refe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rred to in that section are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which is on the same subject matter or is otherwise related;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lastRenderedPageBreak/>
        <w:t xml:space="preserve">(b)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the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last of the requests is re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ceived by the school before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twentieth working day following the date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of receipt of the first of the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requests; and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(c) </w:t>
      </w:r>
      <w:proofErr w:type="gramStart"/>
      <w:r w:rsidRPr="00BC2F81">
        <w:rPr>
          <w:rFonts w:ascii="Century Gothic" w:hAnsi="Century Gothic" w:cs="ArialMT"/>
          <w:color w:val="000000"/>
          <w:sz w:val="20"/>
          <w:szCs w:val="20"/>
        </w:rPr>
        <w:t>it</w:t>
      </w:r>
      <w:proofErr w:type="gramEnd"/>
      <w:r w:rsidRPr="00BC2F81">
        <w:rPr>
          <w:rFonts w:ascii="Century Gothic" w:hAnsi="Century Gothic" w:cs="ArialMT"/>
          <w:color w:val="000000"/>
          <w:sz w:val="20"/>
          <w:szCs w:val="20"/>
        </w:rPr>
        <w:t xml:space="preserve"> appears to the school that th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e requests have been made in an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attempt to ensure that the prescribe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d costs of complying separately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with each request would not exceed the appropriate limit.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If you get multiple requests for the same info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rmation, it is good practice to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include the information in your publication scheme.</w:t>
      </w:r>
    </w:p>
    <w:p w:rsidR="005052BE" w:rsidRPr="00BC2F81" w:rsidRDefault="005052BE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b/>
          <w:bCs/>
          <w:color w:val="000000"/>
          <w:sz w:val="20"/>
          <w:szCs w:val="20"/>
        </w:rPr>
      </w:pP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How do I inform the applicant of the fee?</w:t>
      </w:r>
    </w:p>
    <w:p w:rsidR="00D54DE3" w:rsidRPr="00BC2F81" w:rsidRDefault="00D54DE3" w:rsidP="005052B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1. Where you intend to charge a fee f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or complying with a request for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information then the school must give the pe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rson requesting the information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notice in writing (the “fees notice”) stating that a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fee of the amount specified in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the notice is to be charged for complying.</w:t>
      </w:r>
    </w:p>
    <w:p w:rsidR="009C0657" w:rsidRPr="00E6191D" w:rsidRDefault="00D54DE3" w:rsidP="00E619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sz w:val="20"/>
          <w:szCs w:val="20"/>
        </w:rPr>
      </w:pPr>
      <w:r w:rsidRPr="00BC2F81">
        <w:rPr>
          <w:rFonts w:ascii="Century Gothic" w:hAnsi="Century Gothic" w:cs="ArialMT"/>
          <w:color w:val="000000"/>
          <w:sz w:val="20"/>
          <w:szCs w:val="20"/>
        </w:rPr>
        <w:t>2. Where a fees notice has been given to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 the person making the request,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you do not need to comply with the request unle</w:t>
      </w:r>
      <w:r w:rsidR="00E6191D">
        <w:rPr>
          <w:rFonts w:ascii="Century Gothic" w:hAnsi="Century Gothic" w:cs="ArialMT"/>
          <w:color w:val="000000"/>
          <w:sz w:val="20"/>
          <w:szCs w:val="20"/>
        </w:rPr>
        <w:t xml:space="preserve">ss the fee is paid within three </w:t>
      </w:r>
      <w:r w:rsidRPr="00BC2F81">
        <w:rPr>
          <w:rFonts w:ascii="Century Gothic" w:hAnsi="Century Gothic" w:cs="ArialMT"/>
          <w:color w:val="000000"/>
          <w:sz w:val="20"/>
          <w:szCs w:val="20"/>
        </w:rPr>
        <w:t>months of the notice being received</w:t>
      </w:r>
      <w:r w:rsidRPr="00BC2F81">
        <w:rPr>
          <w:rFonts w:ascii="Century Gothic" w:hAnsi="Century Gothic" w:cs="Arial-BoldMT"/>
          <w:b/>
          <w:bCs/>
          <w:color w:val="000000"/>
          <w:sz w:val="20"/>
          <w:szCs w:val="20"/>
        </w:rPr>
        <w:t>.</w:t>
      </w:r>
    </w:p>
    <w:sectPr w:rsidR="009C0657" w:rsidRPr="00E6191D" w:rsidSect="00334E17">
      <w:pgSz w:w="11906" w:h="16838"/>
      <w:pgMar w:top="1440" w:right="1440" w:bottom="1440" w:left="1440" w:header="708" w:footer="708" w:gutter="0"/>
      <w:pgBorders w:display="firstPage" w:offsetFrom="page">
        <w:top w:val="thinThickThinMediumGap" w:sz="24" w:space="24" w:color="1F4E79" w:themeColor="accent1" w:themeShade="80"/>
        <w:left w:val="thinThickThinMediumGap" w:sz="24" w:space="24" w:color="1F4E79" w:themeColor="accent1" w:themeShade="80"/>
        <w:bottom w:val="thinThickThinMediumGap" w:sz="24" w:space="24" w:color="1F4E79" w:themeColor="accent1" w:themeShade="80"/>
        <w:right w:val="thinThickThinMedium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E3"/>
    <w:rsid w:val="0021695A"/>
    <w:rsid w:val="00304BED"/>
    <w:rsid w:val="00334E17"/>
    <w:rsid w:val="005052BE"/>
    <w:rsid w:val="00703B7F"/>
    <w:rsid w:val="00923678"/>
    <w:rsid w:val="009C0657"/>
    <w:rsid w:val="009E14CD"/>
    <w:rsid w:val="00AE1DCC"/>
    <w:rsid w:val="00BC2F81"/>
    <w:rsid w:val="00D54DE3"/>
    <w:rsid w:val="00E6191D"/>
    <w:rsid w:val="00F1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2B9CD-0E42-45F8-839D-362771D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ca.gov.uk/foi/secleg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6716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Holt</dc:creator>
  <cp:keywords/>
  <dc:description/>
  <cp:lastModifiedBy>Victoria Holt</cp:lastModifiedBy>
  <cp:revision>3</cp:revision>
  <dcterms:created xsi:type="dcterms:W3CDTF">2019-05-03T08:03:00Z</dcterms:created>
  <dcterms:modified xsi:type="dcterms:W3CDTF">2019-05-03T08:52:00Z</dcterms:modified>
</cp:coreProperties>
</file>